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D2" w:rsidRDefault="00D275AD" w:rsidP="006E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Разъяснение права</w:t>
      </w:r>
      <w:r w:rsidR="00DC1F84" w:rsidRPr="006040D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на защиту в уголовном процессе</w:t>
      </w:r>
    </w:p>
    <w:p w:rsidR="006E7100" w:rsidRDefault="006E7100" w:rsidP="006E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Конституция Российской Федерации, гарантируя государственную защиту прав и свобод человека и гражданина (статья </w:t>
      </w:r>
      <w:hyperlink r:id="rId5" w:history="1">
        <w:r w:rsidRPr="006040D2">
          <w:rPr>
            <w:rFonts w:ascii="Times New Roman" w:eastAsia="Times New Roman" w:hAnsi="Times New Roman" w:cs="Times New Roman"/>
            <w:color w:val="2B5082"/>
            <w:sz w:val="28"/>
            <w:szCs w:val="28"/>
            <w:u w:val="single"/>
            <w:shd w:val="clear" w:color="auto" w:fill="FFFFFF"/>
            <w:lang w:eastAsia="ru-RU"/>
          </w:rPr>
          <w:t>2;</w:t>
        </w:r>
      </w:hyperlink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6" w:history="1">
        <w:proofErr w:type="gramStart"/>
        <w:r w:rsidRPr="006040D2">
          <w:rPr>
            <w:rFonts w:ascii="Times New Roman" w:eastAsia="Times New Roman" w:hAnsi="Times New Roman" w:cs="Times New Roman"/>
            <w:color w:val="2B5082"/>
            <w:sz w:val="28"/>
            <w:szCs w:val="28"/>
            <w:u w:val="single"/>
            <w:shd w:val="clear" w:color="auto" w:fill="FFFFFF"/>
            <w:lang w:eastAsia="ru-RU"/>
          </w:rPr>
          <w:t>статья 45,</w:t>
        </w:r>
      </w:hyperlink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часть 1), предоставляет каждому право на получение квалифицированной юридической помощи</w:t>
      </w:r>
      <w:hyperlink r:id="rId7" w:history="1">
        <w:r w:rsidRPr="006040D2">
          <w:rPr>
            <w:rFonts w:ascii="Times New Roman" w:eastAsia="Times New Roman" w:hAnsi="Times New Roman" w:cs="Times New Roman"/>
            <w:color w:val="2B5082"/>
            <w:sz w:val="28"/>
            <w:szCs w:val="28"/>
            <w:u w:val="single"/>
            <w:shd w:val="clear" w:color="auto" w:fill="FFFFFF"/>
            <w:lang w:eastAsia="ru-RU"/>
          </w:rPr>
          <w:t>(статья 48,</w:t>
        </w:r>
      </w:hyperlink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часть 1) и, кроме того, прямо предусматривает, что "каждый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обвинения" </w:t>
      </w:r>
      <w:hyperlink r:id="rId8" w:history="1">
        <w:r w:rsidRPr="006040D2">
          <w:rPr>
            <w:rFonts w:ascii="Times New Roman" w:eastAsia="Times New Roman" w:hAnsi="Times New Roman" w:cs="Times New Roman"/>
            <w:color w:val="2B5082"/>
            <w:sz w:val="28"/>
            <w:szCs w:val="28"/>
            <w:u w:val="single"/>
            <w:shd w:val="clear" w:color="auto" w:fill="FFFFFF"/>
            <w:lang w:eastAsia="ru-RU"/>
          </w:rPr>
          <w:t>(статья 48,</w:t>
        </w:r>
      </w:hyperlink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часть 2).</w:t>
      </w:r>
      <w:proofErr w:type="gramEnd"/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Как указано в Постановлении Конституционного Суда РФ от 27.06.2000 года за № 11-П норма </w:t>
      </w:r>
      <w:hyperlink r:id="rId9" w:history="1">
        <w:r w:rsidRPr="006040D2">
          <w:rPr>
            <w:rFonts w:ascii="Times New Roman" w:eastAsia="Times New Roman" w:hAnsi="Times New Roman" w:cs="Times New Roman"/>
            <w:color w:val="2B5082"/>
            <w:sz w:val="28"/>
            <w:szCs w:val="28"/>
            <w:u w:val="single"/>
            <w:shd w:val="clear" w:color="auto" w:fill="FFFFFF"/>
            <w:lang w:eastAsia="ru-RU"/>
          </w:rPr>
          <w:t>статьи 48</w:t>
        </w:r>
      </w:hyperlink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(часть 2) Конституции Российской Федерации определенно указывает на сущностные признаки, характеризующие фактическое положение лица как нуждающегося в правовой помощи в силу того, что его конституционные права, прежде </w:t>
      </w:r>
      <w:proofErr w:type="gramStart"/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</w:t>
      </w:r>
      <w:proofErr w:type="gramEnd"/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свободу и личную неприкосновенность, ограничены, в том числе в связи с уголовным преследованием в целях установления его виновности. Поэтому конституционное право пользоваться помощью адвоката (защитника) возникает у конкретного лица с того момента, когда ограничение его прав становится реальным.</w:t>
      </w:r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 В силу  ст.16 Уголовно-процессуального кодекса Российской Федерации (далее по тексту УПК РФ) подозреваемому и обвиняемому обеспечивается право на защиту, которое они могут осуществлять лично либо с помощью защитника и (или) </w:t>
      </w:r>
      <w:proofErr w:type="spellStart"/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законног</w:t>
      </w:r>
      <w:proofErr w:type="spellEnd"/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представителя.</w:t>
      </w:r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 В случаях, предусмотренных УПК РФ, обязательное участие защитника и (или) законного представителя подозреваемого или обвиняемого обеспечивается должностными лицами, осуществляющими производство по уголовному делу.</w:t>
      </w:r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В случаях, предусмотренных УПК РФ и иными федеральными законами, подозреваемый и обвиняемый могут пользоваться помощью защитника бесплатно.</w:t>
      </w:r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Согласно нормам ст.49 УПК РФ в качестве защитников допускаются адвокаты.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лицо, о допуске которого ходатайствует обвиняемый. При производстве у мирового судьи указанное лицо допускается и вместо адвоката.</w:t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 участвует в уголовном деле:</w:t>
      </w:r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 момента вынесения постановления о привлечении лица в качестве обвиняемого, за исключением случаев, предусмотренных </w:t>
      </w:r>
      <w:hyperlink r:id="rId10" w:anchor="Par4" w:history="1">
        <w:r w:rsidRPr="006040D2">
          <w:rPr>
            <w:rFonts w:ascii="Times New Roman" w:eastAsia="Times New Roman" w:hAnsi="Times New Roman" w:cs="Times New Roman"/>
            <w:color w:val="2B5082"/>
            <w:sz w:val="28"/>
            <w:szCs w:val="28"/>
            <w:u w:val="single"/>
            <w:shd w:val="clear" w:color="auto" w:fill="FFFFFF"/>
            <w:lang w:eastAsia="ru-RU"/>
          </w:rPr>
          <w:t>пунктами 2</w:t>
        </w:r>
      </w:hyperlink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 </w:t>
      </w:r>
      <w:hyperlink r:id="rId11" w:anchor="Par12" w:history="1">
        <w:r w:rsidRPr="006040D2">
          <w:rPr>
            <w:rFonts w:ascii="Times New Roman" w:eastAsia="Times New Roman" w:hAnsi="Times New Roman" w:cs="Times New Roman"/>
            <w:color w:val="2B5082"/>
            <w:sz w:val="28"/>
            <w:szCs w:val="28"/>
            <w:u w:val="single"/>
            <w:shd w:val="clear" w:color="auto" w:fill="FFFFFF"/>
            <w:lang w:eastAsia="ru-RU"/>
          </w:rPr>
          <w:t>5</w:t>
        </w:r>
      </w:hyperlink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 момента возбуждения уголовного дела в отношении конкретного лица;</w:t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 момента фактического задержания лица, подозреваемого в совершении преступления;</w:t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3.1) с момента вручения уведомления о подозрении в совершении преступления в порядке, установленном </w:t>
      </w:r>
      <w:hyperlink r:id="rId12" w:history="1">
        <w:r w:rsidRPr="006040D2">
          <w:rPr>
            <w:rFonts w:ascii="Times New Roman" w:eastAsia="Times New Roman" w:hAnsi="Times New Roman" w:cs="Times New Roman"/>
            <w:color w:val="2B5082"/>
            <w:sz w:val="28"/>
            <w:szCs w:val="28"/>
            <w:u w:val="single"/>
            <w:shd w:val="clear" w:color="auto" w:fill="FFFFFF"/>
            <w:lang w:eastAsia="ru-RU"/>
          </w:rPr>
          <w:t>статьей 223.1</w:t>
        </w:r>
      </w:hyperlink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УПК РФ;</w:t>
      </w:r>
      <w:proofErr w:type="gramEnd"/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с момента объявления лицу, подозреваемому в совершении преступления, постановления о назначении судебно-психиатрической экспертизы;</w:t>
      </w:r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с момента начала осуществления иных мер процессуального принуждения или иных процессуальных действий, затрагивающих права и свободы лица, подозреваемого в совершении преступления;</w:t>
      </w:r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 момента начала осуществления процессуальных действий, затрагивающих права и свободы лица, в отношении которого проводится проверка сообщения о преступлении в порядке, предусмотренном </w:t>
      </w:r>
      <w:hyperlink r:id="rId13" w:history="1">
        <w:r w:rsidRPr="006040D2">
          <w:rPr>
            <w:rFonts w:ascii="Times New Roman" w:eastAsia="Times New Roman" w:hAnsi="Times New Roman" w:cs="Times New Roman"/>
            <w:color w:val="2B5082"/>
            <w:sz w:val="28"/>
            <w:szCs w:val="28"/>
            <w:u w:val="single"/>
            <w:shd w:val="clear" w:color="auto" w:fill="FFFFFF"/>
            <w:lang w:eastAsia="ru-RU"/>
          </w:rPr>
          <w:t>статьей 144</w:t>
        </w:r>
      </w:hyperlink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УПК РФ.</w:t>
      </w:r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</w:t>
      </w:r>
      <w:r w:rsidR="006E7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и то же лицо не может быть защитником двух подозреваемых или обвиняемых, если интересы одного из них противоречат интересам другого.</w:t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Адвокат не вправе отказаться от принятой на себя защиты подозреваемого, обвиняемого.</w:t>
      </w:r>
    </w:p>
    <w:p w:rsid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В  силу положений ст.52 УПК РФ подозреваемый, обвиняемый вправе в любой момент производства по уголовному делу </w:t>
      </w:r>
      <w:hyperlink r:id="rId14" w:history="1">
        <w:r w:rsidRPr="006040D2">
          <w:rPr>
            <w:rFonts w:ascii="Times New Roman" w:eastAsia="Times New Roman" w:hAnsi="Times New Roman" w:cs="Times New Roman"/>
            <w:color w:val="2B5082"/>
            <w:sz w:val="28"/>
            <w:szCs w:val="28"/>
            <w:u w:val="single"/>
            <w:shd w:val="clear" w:color="auto" w:fill="FFFFFF"/>
            <w:lang w:eastAsia="ru-RU"/>
          </w:rPr>
          <w:t>отказаться</w:t>
        </w:r>
      </w:hyperlink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помощи защитника. Такой отказ допускается только по инициативе подозреваемого или обвиняемого.</w:t>
      </w:r>
    </w:p>
    <w:p w:rsidR="00DC1F84" w:rsidRPr="006040D2" w:rsidRDefault="00DC1F84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</w:t>
      </w:r>
      <w:r w:rsidR="006E7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Отказ от защитника не обязателен для дознавателя, следователя и суда.</w:t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</w:t>
      </w:r>
      <w:r w:rsidR="006E7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4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Отказ от защитника не лишает подозреваемого, обвиняемого права в дальнейшем ходатайствовать о допуске защитника к участию в производстве по уголовному делу.</w:t>
      </w:r>
    </w:p>
    <w:p w:rsidR="008278A4" w:rsidRPr="006040D2" w:rsidRDefault="008278A4" w:rsidP="006E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7100" w:rsidRDefault="006E7100" w:rsidP="006E7100">
      <w:pPr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6E7100" w:rsidRPr="00E836DA" w:rsidRDefault="006E7100" w:rsidP="006E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00" w:rsidRPr="00E836DA" w:rsidRDefault="006E7100" w:rsidP="006E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Ст. помощник Лискинского</w:t>
      </w:r>
    </w:p>
    <w:p w:rsidR="006E7100" w:rsidRPr="00E836DA" w:rsidRDefault="006E7100" w:rsidP="006E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  <w:t xml:space="preserve">  А.Н. Татаринцев</w:t>
      </w:r>
    </w:p>
    <w:p w:rsidR="006E7100" w:rsidRDefault="006E7100" w:rsidP="006E7100">
      <w:pPr>
        <w:jc w:val="both"/>
        <w:rPr>
          <w:color w:val="316FC0"/>
          <w:sz w:val="28"/>
          <w:szCs w:val="28"/>
        </w:rPr>
      </w:pPr>
    </w:p>
    <w:p w:rsidR="00EF7CE5" w:rsidRPr="006040D2" w:rsidRDefault="00EF7CE5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7CE5" w:rsidRPr="006040D2" w:rsidRDefault="00EF7CE5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7CE5" w:rsidRPr="006040D2" w:rsidRDefault="00EF7CE5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7CE5" w:rsidRPr="006040D2" w:rsidRDefault="00EF7CE5" w:rsidP="006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7CE5" w:rsidRPr="006040D2" w:rsidRDefault="00EF7CE5" w:rsidP="0060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7CE5" w:rsidRPr="006040D2" w:rsidRDefault="00EF7CE5" w:rsidP="0060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7CE5" w:rsidRPr="006040D2" w:rsidRDefault="00EF7CE5" w:rsidP="0060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7CE5" w:rsidRDefault="00EF7CE5" w:rsidP="00EF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EF7CE5" w:rsidRDefault="00EF7CE5" w:rsidP="00EF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EF7CE5" w:rsidRDefault="00EF7CE5" w:rsidP="00EF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EF7CE5" w:rsidRDefault="00EF7CE5" w:rsidP="00EF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EF7CE5" w:rsidRDefault="00EF7CE5" w:rsidP="00EF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EF7CE5" w:rsidRDefault="00EF7CE5" w:rsidP="00EF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EF7CE5" w:rsidRDefault="00EF7CE5" w:rsidP="00EF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EF7CE5" w:rsidRPr="00EF7CE5" w:rsidRDefault="00EF7CE5" w:rsidP="00EF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F7CE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Административная ответственность</w:t>
      </w:r>
    </w:p>
    <w:p w:rsidR="00C954DD" w:rsidRDefault="008278A4" w:rsidP="00EF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F7CE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за </w:t>
      </w:r>
      <w:r w:rsidR="00EF7CE5" w:rsidRPr="00EF7CE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торговлю сигаретами вблизи школ</w:t>
      </w:r>
    </w:p>
    <w:p w:rsidR="008278A4" w:rsidRPr="00E836DA" w:rsidRDefault="008278A4" w:rsidP="00EF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C7AA4"/>
          <w:sz w:val="8"/>
          <w:szCs w:val="8"/>
          <w:lang w:eastAsia="ru-RU"/>
        </w:rPr>
      </w:pPr>
      <w:r w:rsidRPr="00EF7CE5">
        <w:rPr>
          <w:rFonts w:ascii="Times New Roman" w:eastAsia="Times New Roman" w:hAnsi="Times New Roman" w:cs="Times New Roman"/>
          <w:b/>
          <w:bCs/>
          <w:iCs/>
          <w:color w:val="2C7AA4"/>
          <w:sz w:val="32"/>
          <w:szCs w:val="32"/>
          <w:lang w:eastAsia="ru-RU"/>
        </w:rPr>
        <w:br/>
      </w:r>
    </w:p>
    <w:p w:rsidR="00E836DA" w:rsidRPr="00C954DD" w:rsidRDefault="00E836DA" w:rsidP="00E836D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54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="008278A4"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ч.7 ст.19 Федерального закона </w:t>
      </w:r>
      <w:r w:rsidR="008278A4"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"Об охране здоровья граждан от воздействия окружающего табачного дыма и последствий потреб</w:t>
      </w:r>
      <w:r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ления табака</w:t>
      </w:r>
      <w:r w:rsidR="008278A4"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от 23 февраля 2013 года №15-ФЗ запрещается розничная торговля табачной продукцией на территориях и в помещениях, предназначенных для оказания образовательных услуг и на расстоянии </w:t>
      </w:r>
      <w:proofErr w:type="gramStart"/>
      <w:r w:rsidR="008278A4"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мене</w:t>
      </w:r>
      <w:proofErr w:type="gramEnd"/>
      <w:r w:rsidR="008278A4"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сто метров по прямой линии без учета  искусственных и естественных преград от ближайшей точки, граничащей с территорией, предназначенной для оказания образовательных услуг.</w:t>
      </w:r>
    </w:p>
    <w:p w:rsidR="00E836DA" w:rsidRPr="00C954DD" w:rsidRDefault="00E836DA" w:rsidP="00E836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="008278A4"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Приведенные положения закона направлены на ограничение доступности табачных изделий для детей и подростков и запрещают реализацию этих изделий в торговых точках, находящихся в непосредственной близости от образовательных учреждений.</w:t>
      </w:r>
    </w:p>
    <w:p w:rsidR="00E836DA" w:rsidRPr="00C954DD" w:rsidRDefault="00E836DA" w:rsidP="00EF7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="008278A4"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14.53 Кодекса Российской Федерации об административных правонарушениях установлена ответственность за несоблюдение ограничений в сфере торговли табачной продукцией и табачными изделиями. Подобные действия влекут наложение административного штрафа на граждан в размере от 2 тысяч до 3 </w:t>
      </w:r>
      <w:r w:rsidR="00C954DD"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тысяч</w:t>
      </w:r>
      <w:r w:rsidR="008278A4"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рублей; на должностных лиц - от 5 тысяч до 10 тысяч рублей; на юридических лиц - от 30 тысяч до 50 тысяч рублей.</w:t>
      </w:r>
    </w:p>
    <w:p w:rsidR="00C954DD" w:rsidRDefault="00E836DA" w:rsidP="00C9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</w:t>
      </w:r>
      <w:proofErr w:type="gramStart"/>
      <w:r w:rsidR="008278A4" w:rsidRPr="00C954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части 3 статьи 14.53 Кодекса Российской Федерации об административных правонарушениях продажа несовершеннолетнему табачной продукции или табачных изделий влечет наложение административного штрафа на граждан в размере от 3 тысяч до 5 тысяч рублей; на должностных лиц - от 30 тысяч до 50 тысяч рублей; на юридических лиц - от 100 тысяч до 150 тысяч рублей.</w:t>
      </w:r>
      <w:proofErr w:type="gramEnd"/>
    </w:p>
    <w:p w:rsidR="008278A4" w:rsidRPr="00C954DD" w:rsidRDefault="008278A4" w:rsidP="00C9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836DA" w:rsidRPr="00E836DA" w:rsidRDefault="00E836DA" w:rsidP="00EF7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ru-RU"/>
        </w:rPr>
      </w:pPr>
    </w:p>
    <w:p w:rsidR="00E836DA" w:rsidRDefault="00E836DA" w:rsidP="00E836DA">
      <w:pPr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E836DA" w:rsidRPr="00E836DA" w:rsidRDefault="00E836DA" w:rsidP="00E83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DA" w:rsidRPr="00E836DA" w:rsidRDefault="00E836DA" w:rsidP="00E83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Ст. помощник Лискинского</w:t>
      </w:r>
    </w:p>
    <w:p w:rsidR="00E836DA" w:rsidRPr="00E836DA" w:rsidRDefault="00E836DA" w:rsidP="00E83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  <w:t xml:space="preserve">  А.Н. Татаринцев</w:t>
      </w:r>
    </w:p>
    <w:p w:rsidR="00E836DA" w:rsidRDefault="00E836DA" w:rsidP="00E836DA">
      <w:pPr>
        <w:jc w:val="both"/>
        <w:rPr>
          <w:color w:val="316FC0"/>
          <w:sz w:val="28"/>
          <w:szCs w:val="28"/>
        </w:rPr>
      </w:pPr>
    </w:p>
    <w:p w:rsidR="00E836DA" w:rsidRDefault="00E836DA" w:rsidP="00EF7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836DA" w:rsidRPr="00EF7CE5" w:rsidRDefault="00E836DA" w:rsidP="00EF7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2CE3" w:rsidRDefault="007C2CE3" w:rsidP="008278A4">
      <w:pP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E836DA" w:rsidRDefault="00E836DA" w:rsidP="008278A4">
      <w:pP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E836DA" w:rsidRDefault="00E836DA" w:rsidP="008278A4">
      <w:pP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E836DA" w:rsidRDefault="00E836DA" w:rsidP="008278A4">
      <w:pP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E836DA" w:rsidRDefault="00E836DA" w:rsidP="008278A4">
      <w:pP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7C2CE3" w:rsidRPr="00A07DC3" w:rsidRDefault="007C2CE3" w:rsidP="00A07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</w:pPr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lastRenderedPageBreak/>
        <w:t>С какого возраста наступает уголовная ответственность за совершение преступлений, связанных с незаконным оборотом наркотиков?</w:t>
      </w:r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br/>
      </w:r>
    </w:p>
    <w:p w:rsidR="00A07DC3" w:rsidRDefault="007C2CE3" w:rsidP="00A0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 За хищение  либо вымогательство наркотиков уголовной ответственности подлежат лица, достигшие 14 летнего возраста. </w:t>
      </w:r>
      <w:proofErr w:type="gramStart"/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  незаконные приобретение, хранение, перевозку, изготовление, переработку наркотических средств, психотропных веществ  или их аналогов, за их незаконные производство, сбыт или пересылку, уголовная ответственность наступает с 16 лет.</w:t>
      </w:r>
      <w:proofErr w:type="gramEnd"/>
    </w:p>
    <w:p w:rsidR="001A61BE" w:rsidRDefault="007C2CE3" w:rsidP="00A0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За совершение вышеуказанных преступлений с особо квалифицирующими признаками законом  предусмотрено  наказание  в виде   лишения свободы на срок до 20 лет, а также пожизненного лишения свободы. В качестве дополнительного наказания к лишению свободы предусмотрены ограничение свободы на срок до 4 лет, штрафы  до 1 000 000 рублей, лишение права занимать определенные должности или  заниматься определенной деятельностью сроком до 20 лет.   </w:t>
      </w:r>
    </w:p>
    <w:p w:rsidR="00A07DC3" w:rsidRDefault="00A07DC3" w:rsidP="00A0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A07DC3">
      <w:pPr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Ст. помощник Лискинского</w:t>
      </w: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  <w:t xml:space="preserve">  А.Н. Татаринцев</w:t>
      </w:r>
    </w:p>
    <w:p w:rsidR="00A07DC3" w:rsidRPr="00C24F15" w:rsidRDefault="00A07DC3" w:rsidP="00A0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61BE" w:rsidRDefault="001A61BE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61BE" w:rsidRPr="00A07DC3" w:rsidRDefault="001A61BE" w:rsidP="00A0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</w:pPr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lastRenderedPageBreak/>
        <w:t>Наказуемо ли финансирование экстремистской деятельности?</w:t>
      </w:r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br/>
      </w:r>
    </w:p>
    <w:p w:rsidR="00A07DC3" w:rsidRDefault="001A61BE" w:rsidP="00A07D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 </w:t>
      </w:r>
      <w:r w:rsidR="00A0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</w:t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от 28 июня 2014 года №179-ФЗ "О внесении изменений в отдельные законодательные акты Российской Федерации" вводится уголовная ответственность за финансирование экстремистской деятельности. </w:t>
      </w:r>
      <w:proofErr w:type="gramStart"/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Уголовный кодекс Российской Федерации дополнен новой статьёй 282.3, устанавливающей ответственность за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организации, и за совершение тех же деяний лицом с использованием своего служебного положения.</w:t>
      </w:r>
      <w:proofErr w:type="gramEnd"/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совершение указанных деяний предусмотрено наказание вплоть до лишения свободы на срок до шести лет.</w:t>
      </w:r>
    </w:p>
    <w:p w:rsidR="001A61BE" w:rsidRDefault="00A07DC3" w:rsidP="00A07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1A61BE"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примечанию к данной статье лицо, совершившее преступление, предусмотренное статьёй 282.3, освобождается от уголовной ответственности, если оно путем своевременного сообщения органам власти или иным образом способствовало предотвращению либо пресечению преступления, которое оно финансировало, а равно способствовало пресечению деятельности экстремистского сообщества или экстремистской организации, для </w:t>
      </w:r>
      <w:proofErr w:type="gramStart"/>
      <w:r w:rsidR="001A61BE"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обеспечения</w:t>
      </w:r>
      <w:proofErr w:type="gramEnd"/>
      <w:r w:rsidR="001A61BE"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которых оно предоставляло или собирало средства либо оказывало финансовые услуги, если в его действиях не содержится иного состава преступления.</w:t>
      </w:r>
    </w:p>
    <w:p w:rsidR="00A07DC3" w:rsidRDefault="00A07DC3" w:rsidP="00A07D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A07DC3">
      <w:pPr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Ст. помощник Лискинского</w:t>
      </w: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  <w:t xml:space="preserve">  А.Н. Татаринцев</w:t>
      </w:r>
    </w:p>
    <w:p w:rsidR="00A07DC3" w:rsidRDefault="00A07DC3" w:rsidP="00A07D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Pr="00C24F15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1A61BE" w:rsidP="00A0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</w:pPr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lastRenderedPageBreak/>
        <w:t xml:space="preserve">Какая предусмотрена ответственность </w:t>
      </w:r>
      <w:proofErr w:type="gramStart"/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t>за</w:t>
      </w:r>
      <w:proofErr w:type="gramEnd"/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t xml:space="preserve"> </w:t>
      </w:r>
    </w:p>
    <w:p w:rsidR="00A07DC3" w:rsidRDefault="001A61BE" w:rsidP="00A0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</w:pPr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t>уклонение от прохождения военной службы?</w:t>
      </w:r>
    </w:p>
    <w:p w:rsidR="00A07DC3" w:rsidRPr="00A07DC3" w:rsidRDefault="00A07DC3" w:rsidP="00A0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</w:pPr>
    </w:p>
    <w:p w:rsidR="00C24F15" w:rsidRDefault="001A61BE" w:rsidP="00A07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A0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Защита Отечества является обязанностью граждан Российской Федерации. Законом Российской Федерации "О воинской обязанности и военной службе" срок службы по призыву установлен продолжительностью 12 месяцев. Кроме того, у лиц призывного возраста есть право на замену военной службы альтернативной гражданской службой. Это позволяет сделать свободный и верный выбор без риска для своего будущего.</w:t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 </w:t>
      </w:r>
      <w:r w:rsidR="00A0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числу правонарушений, за которые установлена административная </w:t>
      </w:r>
      <w:proofErr w:type="gramStart"/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</w:t>
      </w:r>
      <w:proofErr w:type="gramEnd"/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относятся: неявка гражданина, состоящего или обязанного состоять на воинском учёте в военном комиссариате для постановки на воинский учёт, снятия с воинского учета и внесения изменений в документы воинского учета при переезде на новое место жительства, неявка по вызову (повестке) военного комиссариата или иного органа, осуществляющего воинский учет в установленное время и место без уважительной причины, а также уклонение от медицинского освидетельствования либо обследования по направлению комиссии по постановке граждан на воинский учет или призывной комиссии (статьи 21.5, 21.6 Кодекса Российской Федерации об административных правонарушениях).</w:t>
      </w:r>
    </w:p>
    <w:p w:rsidR="006F0952" w:rsidRDefault="001A61BE" w:rsidP="00A0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 </w:t>
      </w:r>
      <w:r w:rsidR="00A0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уклонения от призыва на военную службу и исполнения обязанностей военной службы, в том числе путём симуляции болезни или причинения себе какого-либо повреждения, либо подлога документов и иного обмана, граждане в возрасте от 18 до 27 лет могут быть привлечены к уголовной ответственности по статьям 328,339 Уголовного кодекса Российской Федерации на срок до семи лет лишения свободы.</w:t>
      </w:r>
      <w:proofErr w:type="gramEnd"/>
    </w:p>
    <w:p w:rsidR="00A07DC3" w:rsidRDefault="00A07DC3" w:rsidP="00A0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A07DC3">
      <w:pPr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Ст. помощник Лискинского</w:t>
      </w: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  <w:t xml:space="preserve">  А.Н. Татаринцев</w:t>
      </w:r>
    </w:p>
    <w:p w:rsidR="00A07DC3" w:rsidRDefault="00A07DC3" w:rsidP="00A0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F15" w:rsidRDefault="00C24F15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Pr="00C24F15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0952" w:rsidRPr="00A07DC3" w:rsidRDefault="006F0952" w:rsidP="00A0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</w:pPr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lastRenderedPageBreak/>
        <w:t>Могут ли быть возвращены расходы, связанные с производством по уголовному делу?</w:t>
      </w:r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br/>
      </w:r>
    </w:p>
    <w:p w:rsidR="00A07DC3" w:rsidRDefault="006F0952" w:rsidP="00A07D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</w:t>
      </w:r>
      <w:r w:rsidR="00A0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Уголовно-процессуальным законодательством предусмотрено, что расходы, связанные с производством по уголовному делу, относятся к процессуальным издержкам и подлежат возмещению за счет средств федерального бюджета либо средств участников уголовного производства. Право на возмещение процессуальных расходов в связи с расследованием и рассмотрением уголовного дела возникает у лица, признанного потерпевшим, допрошенного в качестве свидетеля, участвующего в деле в качестве эксперта, специалиста, переводчика, понятого, а также у адвоката, участвующего в уголовном деле по назначению.</w:t>
      </w:r>
    </w:p>
    <w:p w:rsidR="00A07DC3" w:rsidRDefault="006F0952" w:rsidP="00A07D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  </w:t>
      </w:r>
      <w:r w:rsidR="00A0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статьи</w:t>
      </w:r>
      <w:proofErr w:type="gramEnd"/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131 УПК РФ к процессуальным издержкам указанных лиц относятся суммы, выплачиваемые им на покрытие расходов, связанных с явкой к месту производства процессуальных действий и проживанием. К таким расходам относятся расходы на проезд, наем жилого помещения и дополнительные расходы, связанные с проживанием вне места постоянного жительства (суточные).</w:t>
      </w:r>
    </w:p>
    <w:p w:rsidR="00A07DC3" w:rsidRDefault="006F0952" w:rsidP="00A07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Работающие либо имеющие постоянное место работы лица вправе получить возмещение недополученной ими заработной платы за время, затраченное ими в связи с вызовом в орган дознания, к следователю, прокурору или в суд.</w:t>
      </w:r>
    </w:p>
    <w:p w:rsidR="008C7362" w:rsidRDefault="006F0952" w:rsidP="00A07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уголовно-процессуальному законодательству основанием для выплаты процессуальных издержек являются постановление дознавателя, следователя или судьи. В этой связи с соответствующим ходатайством о выплате процессуальных издержек следует обращаться к дознавателю, следователю или судье, в производстве которых находится уголовное дело.</w:t>
      </w:r>
    </w:p>
    <w:p w:rsidR="00A07DC3" w:rsidRDefault="00A07DC3" w:rsidP="00A07D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A07DC3">
      <w:pPr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Ст. помощник Лискинского</w:t>
      </w: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  <w:t xml:space="preserve">  А.Н. Татаринцев</w:t>
      </w:r>
    </w:p>
    <w:p w:rsidR="00A07DC3" w:rsidRPr="00C24F15" w:rsidRDefault="00A07DC3" w:rsidP="00A07D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C7362" w:rsidRDefault="008C7362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C24F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F15" w:rsidRPr="00A07DC3" w:rsidRDefault="008C7362" w:rsidP="00A0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lastRenderedPageBreak/>
        <w:t>Могут ли иностранные граждане получить российской гражданство в упрощенном порядке?</w:t>
      </w:r>
      <w:r w:rsidRPr="00A07DC3">
        <w:rPr>
          <w:rFonts w:ascii="Times New Roman" w:eastAsia="Times New Roman" w:hAnsi="Times New Roman" w:cs="Times New Roman"/>
          <w:b/>
          <w:bCs/>
          <w:iCs/>
          <w:color w:val="2C7AA4"/>
          <w:sz w:val="28"/>
          <w:szCs w:val="28"/>
          <w:lang w:eastAsia="ru-RU"/>
        </w:rPr>
        <w:br/>
      </w:r>
    </w:p>
    <w:p w:rsidR="00A07DC3" w:rsidRDefault="008C7362" w:rsidP="00A07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</w:t>
      </w:r>
      <w:r w:rsidR="00A0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23.06.2014 №157-ФЗ внесены изменения в Федеральный закон «О гражданстве Российской Федерации».</w:t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</w:t>
      </w:r>
      <w:r w:rsidR="00A0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законом в упрощенном порядке (то есть без соблюдения условия о непрерывном проживании на территории Российской Федерации в течение пяти лет) смогут получить гражданство России иностранные граждане и лица без гражданства:</w:t>
      </w:r>
    </w:p>
    <w:p w:rsidR="00A07DC3" w:rsidRDefault="00A07DC3" w:rsidP="00A07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C7362"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получившие в России после 1 июля 2002 года профессиональное образование и работающие в России в совокупности не менее 3 лет;</w:t>
      </w:r>
      <w:proofErr w:type="gramEnd"/>
    </w:p>
    <w:p w:rsidR="00A07DC3" w:rsidRDefault="00A07DC3" w:rsidP="00A07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C7362"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индивидуальные предприниматели, ведущие предпринимательскую деятельность в России не менее 3 лет с ежегодной выручкой в определенных Правительством РФ видах экономической деятельности в размере не менее 10 миллионов рублей;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C7362"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инвесторы, чья доля вклада в уставном капитале российской организации, ведущей деятельность на территории России в определенных Правительством РФ видах экономической деятельности, составляет не менее 10 процентов (при условии, что размер уставного капитала этой организации составляет не менее 100 миллионов рублей);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7362" w:rsidRPr="00C2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C7362"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работающие в России не менее 3 лет по профессии, включенной в специальный перечень, утвержденный Минтрудом России.</w:t>
      </w:r>
      <w:proofErr w:type="gramEnd"/>
    </w:p>
    <w:p w:rsidR="007C2CE3" w:rsidRDefault="008C7362" w:rsidP="00A07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Одновременно уточнен порядок приема в гражданство иностранных граждан, признанных носителями русского языка. Для упрощенного приема в гражданство им потребуется дать обязательство соблюдать российское законодательство, подтвердить наличие законного источника сре</w:t>
      </w:r>
      <w:proofErr w:type="gramStart"/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 к с</w:t>
      </w:r>
      <w:proofErr w:type="gramEnd"/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уществованию и отказаться от гражданства иностранного государства.</w:t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 </w:t>
      </w:r>
      <w:r w:rsidR="00A0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закон вступает в силу по истечении 10 дней после дня официального опубликования.</w:t>
      </w:r>
      <w:r w:rsidR="007C2CE3" w:rsidRPr="00C2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</w:p>
    <w:p w:rsidR="00A07DC3" w:rsidRDefault="00A07DC3" w:rsidP="00A07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DC3" w:rsidRDefault="00A07DC3" w:rsidP="00A07DC3">
      <w:pPr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Ст. помощник Лискинского</w:t>
      </w:r>
    </w:p>
    <w:p w:rsidR="00A07DC3" w:rsidRPr="00E836DA" w:rsidRDefault="00A07DC3" w:rsidP="00A0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  <w:t xml:space="preserve">  А.Н. Татаринцев</w:t>
      </w:r>
    </w:p>
    <w:p w:rsidR="00A07DC3" w:rsidRPr="00C24F15" w:rsidRDefault="00A07DC3" w:rsidP="00A07DC3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</w:p>
    <w:sectPr w:rsidR="00A07DC3" w:rsidRPr="00C2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27"/>
    <w:rsid w:val="001A61BE"/>
    <w:rsid w:val="001C4AAB"/>
    <w:rsid w:val="001E5327"/>
    <w:rsid w:val="004C5648"/>
    <w:rsid w:val="004F5E6C"/>
    <w:rsid w:val="006040D2"/>
    <w:rsid w:val="006E7100"/>
    <w:rsid w:val="006F0952"/>
    <w:rsid w:val="007C2CE3"/>
    <w:rsid w:val="008278A4"/>
    <w:rsid w:val="008C7362"/>
    <w:rsid w:val="00A07DC3"/>
    <w:rsid w:val="00C24F15"/>
    <w:rsid w:val="00C954DD"/>
    <w:rsid w:val="00D275AD"/>
    <w:rsid w:val="00DC1F84"/>
    <w:rsid w:val="00E836DA"/>
    <w:rsid w:val="00E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C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Дата1"/>
    <w:basedOn w:val="a0"/>
    <w:rsid w:val="00DC1F84"/>
  </w:style>
  <w:style w:type="character" w:customStyle="1" w:styleId="apple-converted-space">
    <w:name w:val="apple-converted-space"/>
    <w:basedOn w:val="a0"/>
    <w:rsid w:val="00DC1F84"/>
  </w:style>
  <w:style w:type="character" w:styleId="a3">
    <w:name w:val="Hyperlink"/>
    <w:basedOn w:val="a0"/>
    <w:uiPriority w:val="99"/>
    <w:semiHidden/>
    <w:unhideWhenUsed/>
    <w:rsid w:val="00DC1F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C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Дата1"/>
    <w:basedOn w:val="a0"/>
    <w:rsid w:val="00DC1F84"/>
  </w:style>
  <w:style w:type="character" w:customStyle="1" w:styleId="apple-converted-space">
    <w:name w:val="apple-converted-space"/>
    <w:basedOn w:val="a0"/>
    <w:rsid w:val="00DC1F84"/>
  </w:style>
  <w:style w:type="character" w:styleId="a3">
    <w:name w:val="Hyperlink"/>
    <w:basedOn w:val="a0"/>
    <w:uiPriority w:val="99"/>
    <w:semiHidden/>
    <w:unhideWhenUsed/>
    <w:rsid w:val="00DC1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C4749A58014A976A3EEA4539CE2B8C06EAB229DBCD16F6C380DA7C57AE8DBA072AB9D9FEB4P12BH" TargetMode="External"/><Relationship Id="rId13" Type="http://schemas.openxmlformats.org/officeDocument/2006/relationships/hyperlink" Target="consultantplus://offline/ref=129B710BA20C5FBA805F92BD9907B289D7387D80827111FC404DECC8BF715C72135495C6F08ACABBG41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C4749A58014A976A3EEA4539CE2B8C06EAB229DBCD16F6C380DA7C57AE8DBA072AB9D9FEB4P12AH" TargetMode="External"/><Relationship Id="rId12" Type="http://schemas.openxmlformats.org/officeDocument/2006/relationships/hyperlink" Target="consultantplus://offline/ref=129B710BA20C5FBA805F92BD9907B289D7387D80827111FC404DECC8BF715C72135495C6F08FC2B2G41E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C4749A58014A976A3EEA4539CE2B8C06EAB229DBCD16F6C380DA7C57AE8DBA072AB9D9FEBBP12AH" TargetMode="External"/><Relationship Id="rId11" Type="http://schemas.openxmlformats.org/officeDocument/2006/relationships/hyperlink" Target="http://www.prokrzn.ru/faq/listquestions/695/" TargetMode="External"/><Relationship Id="rId5" Type="http://schemas.openxmlformats.org/officeDocument/2006/relationships/hyperlink" Target="consultantplus://offline/ref=1EC4749A58014A976A3EEA4539CE2B8C06EAB229DBCD16F6C380DA7C57AE8DBA072AB9D9FFBEP12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okrzn.ru/faq/listquestions/6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C4749A58014A976A3EEA4539CE2B8C06EAB229DBCD16F6C380DA7C57AE8DBA072AB9D9FEB4P12BH" TargetMode="External"/><Relationship Id="rId14" Type="http://schemas.openxmlformats.org/officeDocument/2006/relationships/hyperlink" Target="consultantplus://offline/ref=8260D7BDFCD3A1ECB7C72EADD5A56277F1E410A912BE45022AC10921A65CD5E88A2F464CE28BF589rB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Татаринцев Андрей Николаевич</cp:lastModifiedBy>
  <cp:revision>13</cp:revision>
  <cp:lastPrinted>2015-02-11T08:33:00Z</cp:lastPrinted>
  <dcterms:created xsi:type="dcterms:W3CDTF">2014-10-09T05:02:00Z</dcterms:created>
  <dcterms:modified xsi:type="dcterms:W3CDTF">2015-04-20T17:20:00Z</dcterms:modified>
</cp:coreProperties>
</file>