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6F" w:rsidRDefault="00F1366F" w:rsidP="00F1366F">
      <w:pPr>
        <w:pStyle w:val="1"/>
        <w:shd w:val="clear" w:color="auto" w:fill="FFFFFF"/>
        <w:spacing w:before="0" w:beforeAutospacing="0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</w:rPr>
        <w:t>Правообладателям стала доступна бесплатная экспресс-выписка из ЕГРН</w:t>
      </w:r>
    </w:p>
    <w:p w:rsidR="00F1366F" w:rsidRDefault="00F1366F" w:rsidP="00F1366F">
      <w:pPr>
        <w:pStyle w:val="a4"/>
        <w:shd w:val="clear" w:color="auto" w:fill="FFFFFF"/>
        <w:jc w:val="center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noProof/>
          <w:color w:val="501B09"/>
          <w:spacing w:val="6"/>
          <w:sz w:val="21"/>
          <w:szCs w:val="21"/>
        </w:rPr>
        <w:drawing>
          <wp:inline distT="0" distB="0" distL="0" distR="0">
            <wp:extent cx="2895600" cy="2057400"/>
            <wp:effectExtent l="0" t="0" r="0" b="0"/>
            <wp:docPr id="1" name="Рисунок 1" descr="cid:14927a33-ae36-4950-9cd8-7de51b2a6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927a33-ae36-4950-9cd8-7de51b2a649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С 1 марта для правообладателей доступна бесплатная </w:t>
      </w:r>
      <w:r>
        <w:rPr>
          <w:rFonts w:ascii="Arial" w:hAnsi="Arial" w:cs="Arial"/>
          <w:b/>
          <w:bCs/>
          <w:color w:val="501B09"/>
          <w:spacing w:val="6"/>
          <w:sz w:val="21"/>
          <w:szCs w:val="21"/>
        </w:rPr>
        <w:t>экспресс-выписка из Единого государственного реестра недвижимости</w:t>
      </w:r>
      <w:r>
        <w:rPr>
          <w:rFonts w:ascii="Arial" w:hAnsi="Arial" w:cs="Arial"/>
          <w:color w:val="501B09"/>
          <w:spacing w:val="6"/>
          <w:sz w:val="21"/>
          <w:szCs w:val="21"/>
        </w:rPr>
        <w:t> </w:t>
      </w:r>
      <w:r>
        <w:rPr>
          <w:rFonts w:ascii="Arial" w:hAnsi="Arial" w:cs="Arial"/>
          <w:b/>
          <w:bCs/>
          <w:color w:val="501B09"/>
          <w:spacing w:val="6"/>
          <w:sz w:val="21"/>
          <w:szCs w:val="21"/>
        </w:rPr>
        <w:t>(ЕГРН)</w:t>
      </w:r>
      <w:r>
        <w:rPr>
          <w:rFonts w:ascii="Arial" w:hAnsi="Arial" w:cs="Arial"/>
          <w:color w:val="501B09"/>
          <w:spacing w:val="6"/>
          <w:sz w:val="21"/>
          <w:szCs w:val="21"/>
        </w:rPr>
        <w:t>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Документ можно заказать самостоятельно через специальный сервис на </w:t>
      </w:r>
      <w:hyperlink r:id="rId7" w:history="1">
        <w:r>
          <w:rPr>
            <w:rStyle w:val="a3"/>
            <w:rFonts w:ascii="Arial" w:hAnsi="Arial" w:cs="Arial"/>
            <w:color w:val="F26648"/>
            <w:spacing w:val="6"/>
            <w:sz w:val="21"/>
            <w:szCs w:val="21"/>
          </w:rPr>
          <w:t xml:space="preserve">портале </w:t>
        </w:r>
        <w:proofErr w:type="spellStart"/>
        <w:r>
          <w:rPr>
            <w:rStyle w:val="a3"/>
            <w:rFonts w:ascii="Arial" w:hAnsi="Arial" w:cs="Arial"/>
            <w:color w:val="F26648"/>
            <w:spacing w:val="6"/>
            <w:sz w:val="21"/>
            <w:szCs w:val="21"/>
          </w:rPr>
          <w:t>Госуслуг</w:t>
        </w:r>
        <w:proofErr w:type="spellEnd"/>
      </w:hyperlink>
      <w:r>
        <w:rPr>
          <w:rFonts w:ascii="Arial" w:hAnsi="Arial" w:cs="Arial"/>
          <w:color w:val="501B09"/>
          <w:spacing w:val="6"/>
          <w:sz w:val="21"/>
          <w:szCs w:val="21"/>
        </w:rPr>
        <w:t> или в секторе пользовательского сопровождения любого МФЦ.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Экспресс-выписка содержит все привычные разделы, а именно: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описание объекта — кадастровый номер, вид, наименование, площадь, этаж, протяжённость, разрешённое использование, назначение, год ввода в эксплуатацию;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кадастровую стоимость;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сведения о правообладателе;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вид, дату и номер государственной регистрации права и его ограничений;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наименование и реквизиты документов-оснований государственной регистрации права;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сведения о заявленных в судебном порядке правах требования;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сведения о невозможности государственной регистрации без личного участия правообладателя или его представителя;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 xml:space="preserve">сведения о невозможности государственной регистрации перехода, прекращения, ограничения права на земельный участок из земель </w:t>
      </w:r>
      <w:proofErr w:type="spellStart"/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сельхозназначения</w:t>
      </w:r>
      <w:proofErr w:type="spellEnd"/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;</w:t>
      </w:r>
    </w:p>
    <w:p w:rsidR="00F1366F" w:rsidRDefault="00F1366F" w:rsidP="00F136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  <w:sz w:val="21"/>
          <w:szCs w:val="21"/>
        </w:rPr>
      </w:pPr>
      <w:r>
        <w:rPr>
          <w:rFonts w:ascii="Arial" w:eastAsia="Times New Roman" w:hAnsi="Arial" w:cs="Arial"/>
          <w:color w:val="501B09"/>
          <w:spacing w:val="6"/>
          <w:sz w:val="21"/>
          <w:szCs w:val="21"/>
        </w:rPr>
        <w:t>сведения обо всех владельцах указанной недвижимости, как бывших, так и нынешних.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В экспресс-выписке </w:t>
      </w:r>
      <w:r>
        <w:rPr>
          <w:rStyle w:val="a5"/>
          <w:rFonts w:ascii="Arial" w:hAnsi="Arial" w:cs="Arial"/>
          <w:color w:val="501B09"/>
          <w:spacing w:val="6"/>
          <w:sz w:val="21"/>
          <w:szCs w:val="21"/>
        </w:rPr>
        <w:t>отсутствует</w:t>
      </w:r>
      <w:r>
        <w:rPr>
          <w:rFonts w:ascii="Arial" w:hAnsi="Arial" w:cs="Arial"/>
          <w:color w:val="501B09"/>
          <w:spacing w:val="6"/>
          <w:sz w:val="21"/>
          <w:szCs w:val="21"/>
        </w:rPr>
        <w:t> графическая часть, поэтажный план, план земельных участков и др.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При необходимости экспресс-выписка может быть заверена в центрах «Мои Документы».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r>
        <w:rPr>
          <w:rFonts w:ascii="Arial" w:hAnsi="Arial" w:cs="Arial"/>
          <w:color w:val="501B09"/>
          <w:spacing w:val="6"/>
          <w:sz w:val="21"/>
          <w:szCs w:val="21"/>
        </w:rPr>
        <w:t>Добавим, что с 1 марта также вступили в силу изменения законодательства, в соответствии с которыми теперь сведения о правообладателях в выписках из ЕГРН станут закрытыми. Так, вместо ФИО правообладателя будет указано «физическое лицо». Гражданин при желании может подать в МФЦ заявление о согласии на открытие своих персональных данных.</w:t>
      </w:r>
    </w:p>
    <w:p w:rsidR="00F1366F" w:rsidRDefault="00F1366F" w:rsidP="00F1366F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F26648"/>
            <w:spacing w:val="6"/>
            <w:sz w:val="21"/>
            <w:szCs w:val="21"/>
          </w:rPr>
          <w:t>Порядок получения сведений из ЕГРН с 1 марта 2023 г.</w:t>
        </w:r>
      </w:hyperlink>
    </w:p>
    <w:p w:rsidR="000C78DD" w:rsidRDefault="000C78DD">
      <w:bookmarkStart w:id="0" w:name="_GoBack"/>
      <w:bookmarkEnd w:id="0"/>
    </w:p>
    <w:sectPr w:rsidR="000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62D2"/>
    <w:multiLevelType w:val="multilevel"/>
    <w:tmpl w:val="D24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D"/>
    <w:rsid w:val="000C78DD"/>
    <w:rsid w:val="006F0FFD"/>
    <w:rsid w:val="00F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99FD-9926-4479-B9B6-FA8C025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3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66F"/>
  </w:style>
  <w:style w:type="character" w:styleId="a5">
    <w:name w:val="Emphasis"/>
    <w:basedOn w:val="a0"/>
    <w:uiPriority w:val="20"/>
    <w:qFormat/>
    <w:rsid w:val="00F136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cuments36.ru/files/Express-vypiska_EGR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59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4927a33-ae36-4950-9cd8-7de51b2a649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2023-03-09T12:14:00Z</dcterms:created>
  <dcterms:modified xsi:type="dcterms:W3CDTF">2023-03-09T12:14:00Z</dcterms:modified>
</cp:coreProperties>
</file>